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Sutil hiperdensidade delineando o seio sagital superior (pouco mais evidente em segmento médio / posterior). Associa-se leve proeminência deste seio com aspecto algo irregular dos seus contornos na alta convexidade. O achado é tênue, admitindo a possibilidade de variação da normalidade / artefatual, porém havendo relevância clínica, sugere-se correlação com estudo pós-contraste ou eventualmente por ressonância magnética.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estruturas encefálicas com posições, morfologia e densidades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ateromatosas parietais nos segmentos intracranianos das artérias carótidas internas.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Ossos da calota craniana sem evidências de anormalidades focais detectáveis aos cortes axiais.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da face descritos em estudo específico da mesma data.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Dra. Paula da Cunha Pinho - CRM 135130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Dra. Paula da Cunha Pinho - CRM 135130 e Dr. Ellison Fernando Cardoso - CRM 90787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