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DE CABEÇA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adiposo, susceptibilidade magnética, FLAIR e difusão. Após a injeção EV do meio de contraste paramagnético, obtidas aquisições 3D e 2D em T1, com e sem supressão do sinal do tecido adiposo.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 Estudo comparativo com RM anterior de 06/01/2015.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Orifício de trepanação parietal baixo à esquerda, com material de susceptibilidade magnética no local, inalterado.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/>
      </w:pPr>
      <w:r w:rsidDel="00000000" w:rsidR="00000000" w:rsidRPr="00000000">
        <w:rPr>
          <w:color w:val="494949"/>
          <w:rtl w:val="0"/>
        </w:rPr>
        <w:t xml:space="preserve">Lesão expansiva infiltrativa de contornos mal definidos com alto sinal em T2/FLAIR e sem inequívoca restrição à difusão predominantemente subcortical no lobo temporal esquerdo, envolvendo os giros temporais superior, médio e inferior, com extensão cortical mais evidente no giro temporal médio. A alteração de sinal estende-se ao istmo temporal, aspecto posterior da ínsula e profundamente ao epêndima do átrio do ventrículo lateral esquerdo. Determina apagamento regional dos sulcos corticais </w:t>
      </w:r>
      <w:r w:rsidDel="00000000" w:rsidR="00000000" w:rsidRPr="00000000">
        <w:rPr>
          <w:rtl w:val="0"/>
        </w:rPr>
        <w:t xml:space="preserve">e da fissura sylviana, além de discreta compressão sobre o átrio do ventrículo lateral esquerdo. Nota-se questionável perda da arquitetura habitual do aspecto inferior da ínsula com discreto efeito tumefativo, inespecífico, mas que pode indicar extensão tumoral.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Trajetos alongados relacionados à biópsia no giro temporal médio bem como parte do giro temporal superior esquerdos, com áreas lineares de hipersinal em T1 (podem representar resíduos hemáticos) e marcado hipossinal na sequência de susceptibilidade magnética (sugere hemossiderina). Há mínimo realce e espessamento segmentares paquimeníngeo local.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rtl w:val="0"/>
        </w:rPr>
        <w:t xml:space="preserve">Restante do sistema ventricular tem dimensões preservadas. Pequena assimetria</w:t>
      </w:r>
      <w:r w:rsidDel="00000000" w:rsidR="00000000" w:rsidRPr="00000000">
        <w:rPr>
          <w:color w:val="494949"/>
          <w:rtl w:val="0"/>
        </w:rPr>
        <w:t xml:space="preserve"> dos ventrículos laterais, maior à direita.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Pequena formação no aspecto posteromediano da base pontina com alto sinal central e fino halo de baixo sinal em T2 e FLAIR, marcado efeito de susceptibilidade magnética e questionável foco de realce pelo contraste, provável cavernoma, similar.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encefálicas permanecem com posições, morfologia e características de sinal normais.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Pequenos cistos de retenção / pólipos maxilares.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Cistos submucosos em rinofaringe posterior.</w:t>
      </w:r>
    </w:p>
    <w:p w:rsidR="00000000" w:rsidDel="00000000" w:rsidP="00000000" w:rsidRDefault="00000000" w:rsidRPr="00000000">
      <w:pPr>
        <w:spacing w:before="120" w:lineRule="auto"/>
        <w:ind w:left="2880" w:hanging="1440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b w:val="1"/>
          <w:color w:val="494949"/>
          <w:rtl w:val="0"/>
        </w:rPr>
        <w:t xml:space="preserve">Controle de astrocitoma infiltrativo grau II (de acordo com exame anatomopatológico de 14/05/2014) no lobo temporal esquerdo sem alterações evolutivas significativas em relação à RM de 06/01/2015. Não é mais caracterizada a anormalidade de sinal nos globos pálidos.</w:t>
      </w:r>
      <w:r w:rsidDel="00000000" w:rsidR="00000000" w:rsidRPr="00000000">
        <w:rPr>
          <w:color w:val="ff0000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Diego Parga Rodrigues CRM 158394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Dra. Gabriela Grinberg Dias CRM 120280 e Dr. Eduardo Carneiro Lima CRM 77511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