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HIPÓFISE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obtidas em T1 e T2 sem contraste paramagnético, conforme solicitação médica, sem e com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Parênquima hipofisário de espessura e características de sinal preservadas. O diâmetro ântero-posterior parece no limite inferior da normalidade sem outras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Quiasma óptico, haste hipofisária e cavos de Meckel dentro dos limites da normalidade.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Neurohipófise tópica e de sinal habitual.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sequência T2 mostra uma estrutura tubuliforme de marcado baixo sinal que trafega ântero-posteriormente entre o quiasma óptico e a glândula hipofisária na região parassagital esquerda, que pode corresponder a artefato ou estrutura vascular, cuja natureza não é passível de determinação com base apenas neste exame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exame encefálico, nas imagens analisadas, sem alterações significativas.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Veia temporal basal à esquerda proeminente, variante da normalidade.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Mastóides à direita preenchidas por líquido.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Haste, parênquima hipofisário e neurohipófise dentro dos limites da normalidade.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suprasselar que pode corresponder a artefato ou estrutura vascular cuja natureza não é passível de determinação neste exame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das estruturas analisadas dentro dos limites da normalidade.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EDSON AMARO JÚNIOR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Dra. LIDIA MAYUMI NAGAE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