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Pequenos focos com hipossinal esparsos no couro cabeludo, que devem estar relacionados ao gel de eletroencefalograma.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cortéx das porções posteriores dos giros temporais superior, médio e inferior esquerdos encontra-se espessado e com leve hipersinal difuso em T2 e FLAIR. Há área focal de perda da diferenciação córtico-subcortical no giro temporal inferior, onde há pequeno foco relativamente circunscrito de sinal mais intenso em T2/FLAIR no córtex suprajacente. Discreto apagamento dos sulcos corticais regionais. Tênue hipersinal em T2 na substância branca do istmo temporal. Não há realce pelo meio de contraste ou de restrição à difusão.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foram caracterizadas áreas de contrastação patológica ou de restrição à difusão.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              Espessamento cortical difuso temporal posterior esquerdo, achado que pode representar displasia cortical entre outras possibilidades. Sugere-se prosseguir a investigação com exames neurofuncionais a fim de determinar se há correlação anatômica com as crises convulsivas e realizar a RM em aparelho de mais alto campo (3.0 Teslas) para avaliação de diagnósticos diferenciais, entre os quais eventual neoplasia de baixo grau (área ovalada intralesional em giro temporal inferior).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Gabriela Grinberg Dias CRM 120280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Gabriela Grinberg Dias CRM 120280 e Dr. Edson Amaro Jr. CRM 78604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