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Crânio com espectroscopia de próton e estudo de perfusão cerebral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Espectroscopia com técnica PRESS, volumes simples e múltiplos e com tempos de eco curto e longo.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Perfusão cerebral com técnica ecoplanar / gradiente de eco, com avaliação da primeira passagem do meio de contraste paramagnético através da microvasculatura cerebral.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área de aspecto cuneiforme e com leve hiperintensidade de sinal em T2/ FLAIR na superfície cortical no lobo quadrangular do hemisfério cerebelar esquerdo, junto ao tentório, sem evidência de restrição à difusão, realce pelo meio de contraste ou efeito de massa significativo. Mede cerca de 1,0 x 0,7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de perfusão cerebral não demonstrou aumento do parâmetro referente a volume sanguíneo cerebral relativo em meio à lesão, tampouco assimetrias evidentes dos tempos médios de chegada do meio de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perfis de espectroscopia não evidenciam assimetrias significativas nas relações entre os metabólitos na comparação entre a lesão e área controle de parênquima cerebelar contra lateral de aspecto preservado, ou evidências de picos anômalos.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Duas pequenas formações císticas localizadas no interior do quarto ventrículo, anteriormente ao verme cerebelar, a maior medindo 0,7 cm. Podem representar pequenos cistos de plexo coróide (achado fortuito), estáveis em relação ao exame de referência.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das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assimetria entre os ventrículos laterais, menor à direita, de aspecto constitucional.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do revestimento mucoso das células etmoidal.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 de alteração de sinal cortical no hemisfério cerebelar esquerdo sem aumento dos parâmetros relativos ao volume sanguíneo cerebral relativo (rCBV) e sem alterações significativas nos perfis de espectroscopia. Em relação ao exame anterior de 10/05/2013, não foram observadas alterações evolutivas significativas no intervalo e permanecem as hipóteses de lesão de natureza hamartomatosa / displásica ou neoplásica primária de baixo grau histológico.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