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DE CABEÇA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TÉCNICA: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Aquisições multiplanares de imagens enfatizadas em T1, T2 com supressão do sinal do tecido adiposo e técnica FLAIR, T2* e difusão. Após a injeção EV do meio de contraste paramagnético, obtidas aquisições 3D e 2D em T1, com e sem supressão do sinal do tecido adiposo.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ACHADOS: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 estudo atual é comparado ao realizado em 29 de abril de 2013, sem alterações evolutivas significativas, a saber: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Permanece a lesão nos globos pálidos, cápsula interna e aspecto ântero-mesial do tálamo à esquerda, com sinal mais intenso em FLAIR e sem restrição à difusão ou contrastação associadas. É também similar adjacente a esta área lesão nucleocapsular esquerda, ao redor do núcleo lentiforme, com sinal mais intenso em T1, T2 e FLAIR, ainda com contrastação periférica e porção superior apresentando sinal mais alto na difusão, sem nítida representação no mapa ADC, inespecífico.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Similares as lesões de sinal mais intenso em T1, T2 e FLAIR predominantemente subcorticais nos lóbulos paracentrais, com contrastação semelhante.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Permanece tênue contrastação subcortical ao longo da média convexidade do giro pré-central esquerdo, com sinal hiperintenso na sequência de difusão nesta região, de aspecto inespecífico.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Permanece tênue contrastação subcortical na lesão da transição parieto-occipital mesial à esquerda, inespecífica.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Similares as demais múltiplas lesões na substância branca dos hemisféricos cerebrais, predominantemente periventriculares e nos centros semiovais, outras subcorticais, ao redor do quarto ventrículo, pedúnculo cerebelar médio direito, topografia caudado-talâmica esquerda, pedúnculos temporais e em regiões periatriais bilaterais. Apresentam alto sinal em T2/FLAIR, algumas com baixo sinal em T1 (cavitações), múltiplas perpendiculares ao epêndima dos ventrículos laterais (infere distribuição perivenular), outras junto à interface calososseptal e algumas justacorticais, sem impregnação pelo meio de contraste ou restrição à difusão.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diferenças entre os exames podem pelo menos em parte estar relacionadas a diferenças nos parâmetros técnicos de aquisição das imagens e na dinâmica de injeção do contraste.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Estabilidade das dimensões do sistema ventricular, com discreto aumento dos ventrículos laterais e do terceiro ventrículo. Amplitude inalterada dos espaços subaracnoideos, com alargamento de sulcos corticais, de fissuras encefálicas e cisternas basais.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Corpo caloso discreta e difusamente afilado.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Espessamento do revestimento mucoso das cavidades paranasais, de contornos lobulados nos assoalhos dos seios maxilares, que admite associação com cistos de retenção / pólipos.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Tênue alto sinal em T1 dos núcleos denteados, inespecífico.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Material de alto sinal em T2 (líquido) delineando células das mastoides.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Hiperostose craniana de aspecto benigno. Discreta alteração de sinal difusa da calota craniana.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IMPRESSÃO: Controle de afecção desmielinizante, sem alterações evolutivas significativas em relação ao exame de referência.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