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estudo atual é comparado ao anterior de 09/05/2012.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Permanece similar a lesão extra-axial com predomínio de isossinal ao córtex em T1 e T2, homogeneamente contrastante, parafalcina frontal posterior e de transição fronto-parietal direita, medindo cerca de 1,7 x 1,6 x 1,2 cm, fazendo impressão no giro do cíngulo contíguo. Parênquima cerebral adjacente persiste com sinal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Permanecem similares os raros diminutos focos de alto sinal em T2/FLAIR na substância branca subcortical frontoparietal, sem restrição à difusão ou realce pelo meio de contraste, de significado inespecífico, mais provavelmente relacionados a gliose / rarefação da mielina.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Cisterna retrovermiana ampla, com amoldamento da escama occipital adjacente, de aspecto similar.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dimensões ventriculares e dos demais espaços liquóricos intracranianos apresentam-se igualmente inalteradas.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aspectos do exame sem alterações evolutivas significativas.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Controle de lesão extra-axial fronto-parietal parafalcina direita, cujo aspecto sugere meningioma, sem alterações evolutivas significativas em relação ao exame anterior.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