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estudo realizado em 30 de janeiro de 2012, permanecem sem alterações evolutivas os achados abaixo descritos: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Cateter de derivação ventricular parietal posterior à direita com trajeto na transição têmporo-occipital, tangenciando o contorno súpero-medial do átrio ventricular e com extremidade localizada junto à fissura inter-hemisférica suprajacente à cisterna pineal. Pequena área triangular com atenuação de líquor junto do trajeto parenquimatoso do cateter, mais provavelmente representa encefalomalácia.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foco hipoatenuante subcortical na porção posterior do giro frontal superior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 caloso não identificado na porção do rostro e de difícil caracterização na porção posterior do tronco e esplênio.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Sulcos corticais rasos associados a giros de aspecto simplificado, com paucidade de giração cortical em ambos os hemisférios cerebrais, de forma mais evidente nos lobos frontais e ínsulas, de distribuição relativamente simétrica. Hipo-opercularização das fissuras silvianas. A possibilidade de lisencefalia (complexo agiria / paquigiria) pode ser considerada.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Septo pelúcido não identificado.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Ventrículos laterais de pequenas dimensões, parcialmente colabados. O terceiro ventrículo mantém morfologia preservada e dimensões normais. O quarto ventrículo é centrado e amplo.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cerebral de volume aparentemente reduzido e atenuação conservada.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proeminência da cisterna magna.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Sela túrcica com pequenas dimensões.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coleções extra-axiais ou sinais de hemorragia aguda intracraniana.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Nervos ópticos adelgaçados.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difuso da díploe dos ossos da calota craniana.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de retenção / pólipos nos seios maxilares.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de má-formação do desenvolvimento cortical (provável lisencefalia - complexo agiria / paquigiria), com derivação ventricular, disgenesia do corpo caloso e questionável displasia septo-óptica associada, sem alterações encefálicas evolutivas significativas em relação ao exame de 30/01/2012.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critério clínico, ressonância magnética pode trazer mais informações sobre a má-formação do desenvolvimento cortical.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