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Estudo de controle em relação ao exame de 01/06/2012 não evidencia alterações evolutivas significativas, a saber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bastante similar a coleção extra-axial temporo-parietal direita com componente hiperatenuante (hematoma recente) temporo-parietal direito, de contornos biconvexos que admite diferencial com hematoma extradural recente associado.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redução volumétrica do parênquima encefálico e de degeneração aterosclerótica de artérias intracranianas.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confluentes da substância branca bi-hemisférica, inespecíficas, habitualmente relacionadas a gliose / rarefação de mielina.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expansiva extra-axial no hiato tentorial e falcino, previamente caracterizado como meningeoma, com dimensões similares em relação à tomografia de 14/02/2009.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