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Realizado estudo comparativo com as imagens digitalizadas do exame anterior de 12/08/2011, realizada em outro serviço.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Permanecem semelhantes os dois focos de alto sinal na substância branca subcortical parietal na transição com a ínsula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lesão no aspecto póstero-medial do pedúnculo cerebelar médio direito, cujos limites se aproximam e abaulam as margens do IV ventrículo mantém as mesmas dimensões. Seu sinal em T2/FLAIR continua alto, sem restrição à difusão, e com mínima impregnação pelo contraste, mais conspícuo no exame atual, e que parece ser mais evidente em suas bordas junto ao ventrículo.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 a assimetria dos ventrículos laterais, o direito maior, particularmente o seu corpo e corno frontal, um aspecto mais provavelmente secundário à aderência do septo pelúcido ao epêndima esquerdo, na topografia da cabeça do núcleo caudado.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Insinuação do espaço liquórico no interior da cavidade selar determinando sela parcialmente vazia.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posições, morfologia e características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caracterizadas outras áreas de contrastação patológica ou de restrição à difusão.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Líquido de aspecto denso/hiperproteico oblitera raras células mastoideas, em extensão e características praticamente iguais ao exame anterior.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O estudo comparativo aos exames anteriores de 07/06/2011 e 12/08/2011 mostra que as discretas áreas de alteração de sinal na substância branca e a lesão póstero-medial em pedúnculo cerebelar médio direito mantém as mesmas características. Esta última com discreta impregnação pelo contraste, mais conspícuo em imagens de mais alta resolução do exame atual, e estendendo-se à margem do IV ventrículo. Mantém-se as hipóteses de alterações inflamatórias ou desmielinizantes - mas o abaulamento na parede do IV ventrículo ainda requer, pela possibilidade de neoplasia, controle em data próxima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restante do exame também não apresenta alterações evolutivas significativas.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