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evolutivo de controle em relação ao anterior do dia 07/01/2011evidencia: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Regressão da coleção extra-axial frontoparietal esquerda, restando mínimo espessamento dural na alta convexidade. Houve re-expansão dos sulcos corticais hemisféricos e das fissuras silviana e interemisférica à esquerda, assim como aumento das dimensões ventriculares.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demais achados permanecem similares: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Dois orifícios de trepanação, um na escama frontal e outro na escama parietal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dos demais sulcos corticais, fissuras inter-hemisférica e silvianas, com aumento de aspecto não hipertensivo dos ventrículos laterais e III ventrículo. Cisternas da base e espaços liquóricos entre folhas cerebelares amplos.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Pequenas áreas focais hipoatenuantes núcleo-capsulares bilaterais, provavelmente relacionadas a lacunas remotas.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Hipoatenuação da substância branca periventricular, ao redor dos cornos anteriores e átrios dos ventrículos laterais. Há focos hipoatenuantes mais tênues nos centros semi-ovais com extensão subcortical frontoparietal bilateral, inespecíficos, comumente representam gliose ou rarefação da mielina em território de pequenas artérias.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parietais ateromatosas nos segmentos intracranianos das artérias carótidas internas.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 de retenção/pólipo no seio maxilar direito. Secreção aerada delineando nível hidroaéreo no seio esfenoidal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Mastóides aeradas nos segmentos avaliados pelo estudo.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