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Observa-se sinal intenso em FLAIR e restrição à difusão avolumando córtex parietal parassagital posterior bilateral, frontal superior direito, assim como o pulvinar do tálamo direito de maneira marcante, e outras pequenas áreas corticais de modo menos evidente.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formações hipocampais são simétricas e de sinal habitual.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encefálicas com posições, morfologia e características de sinal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foram caracterizadas áreas de contrastação patológica.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Alterações corticais parieto-occipito-frontais esparsas e talâmica à direita. Entre os diagnósticos diferenciais pode se incluir malformações do desenvolvimento cortical e/ou alterações pós-convulsivas.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 interessante correlação eletrencefalográfica (eventuais crises subclínicas) e exame de controle em fase não convulsiva para melhor estudo destes achados.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