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Realizadas também aquisições de alta resolução na região das formações hipocampais.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do sinal da substância branca periatrial bilateral o qual é entremeado por alargamento dos espaços liquóricos.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encefálico de sinal e morfologia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Formações hipocampais são simétricas e de sinal habitual.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ventricular e demais espaços liquóricos intracranianos sem alterações localizadas.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Preenchimento do seio esfenóide direito por material líquido bem como de algumas células mastoídeas principalmente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Área de alteração de sinal de substância branca profunda bi-parieto-occipital. Apesar de ser local comum de mielinização terminal, as alterações podem corresponder a modificações sequelares (gliose), a critério clínico caso haja pertinência exames de controle em datas futuras poderão trazer mais detalhes a este respeito.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