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Crânio com espectroscopia de próton e estudo de perfusão cerebral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Espectroscopia com técnica PRESS, volumes simples e múltiplos e com tempos de eco curto e longo.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Perfusão cerebral com técnica ecoplanar com avaliação da primeira passagem do meio de contraste paramagnético através da microvasculatura cerebral.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Estudo comparativo com exame anterior de 11/05/2012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área de sinal em T2/FLAIR que acomete e avoluma córtex e subcórtex da região insular direita, predominantemente nos seus aspectos póstero inferiores (giros longos), istmo e giro temporal superior adjacentes, margeando parcialmente o sulco circular da ínsula, de limites por vezes imprecisos, sem restrição à difusão ou contrastação, permanece com extensão similar. Entretanto, os giros acometidos se apresentam discretamente mais avolumados, com maior apagamento dos sulcos corticais regionais.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estudo de espectroscopia de prótons com voxel nesta região revelou redução da relação N-acetil-aspartato / creatinas (marcador de densidade / função neuronal), relação colinas / creatinas normal ou reduzida (marcador de turnover de membranas celulares) e aumento da relação mioinositol / creatinas (marcador de densidade astrocitária / astrogliose), sem evidências de picos anômalos.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estudo de perfusão cerebral não demonstrou aumento significativo do parâmetro referente a volume sanguíneo cerebral relativo (rCBV) em meio à lesão, quando comparado ao lado contralateral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também similar a extensão da zona de alteração de sinal na substância branca subcortical do giro pré-central de média convexidade à direita que parece se estender com limites imprecisos ao córtex suprajacente.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aspectos evolutivamente estáveis, a saber: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Focos de alto sinal em T2/FLAIR esparsos na substância branca subcortical e profunda de ambos os hemisférios cerebrais, sem restrição à difusão ou contrastação.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proeminência de sulcos corticais nas convexidades frontoparietais.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ventricular e demais espaços liquóricos de dimensões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encéfalo com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da linha mediana centradas.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caracterizam áreas de restrição à difusão ou contrastação patológica de entremeio ao parênquima encefálico.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de lesão expansiva/infiltrativa acometendo córtex e subcórtex têmporo insular à direita. Em relação ao estudo de 11/05/2012, a extensão da lesão está inalterada, mas houve mínimo aumento da tumefação dos giros acometidos. As características da lesão na avaliação por espectroscopia e perfusão permanecem inalteradas, favorecendo neoplasia de baixo grau. Entretanto, sugere-se controle precoce devido à sugestão morfológica de aumento do aspecto tumefativo da lesão em relação ao último exame.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seguem similares.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