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CABEÇA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helicoidal de cortes axiais de 0,5 mm de colimação, seguida de reconstruções de cortes axiais de 2,0; 3,0 e 5,0 mm de espessura, sem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 relação à TC do exame de PET/TC de 23/04/2013: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Introdução de cateter de derivação ventricular através de orifício de trepanação junto à sutura coronária na alta convexidade à direita, com trajeto no giro frontal superior subjacente e corpo do ventrículo lateral deste lado, notando-se extremidade distal no aspecto lateral direito do III ventrículo.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Aumento volumétrico e densificação dos tecidos superficiais circunjacentes ao trajeto subcutâneo do cateter.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Dimensões praticamente inalteradas do sistema ventricular, permanecendo dilatação dos ventrículos laterais e III ventrículo, com aspecto algo globoso.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Amplitude semelhante dos sulcos corticais e fissuras encefálicas, permanecendo com menor amplitude junto ao vértice e alargados nas médias e baixas convexidades.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achados permanecem similares: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manipulação cirúrgica da transição craniocervical com ressecção do arco posterior de C1 e da parede inferoposterior do forame magno.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invaginação vértebro-basilar com ápice do odontóide aproximadamente 1,5 cm acima da linha de Chamberlain. O ápice do odontoide determina discreta impressão sobre o saco dural e a porção inferior da margem ventral do bulbo. Alterações degenerativas do odontóide.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Calcificações palidais simetricamente dispostas, fisiológicas.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Calcificações parietais nos segmentos intracranianos das artérias carótidas internas.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mucoso do trabeculado etmoidal. Cistos de retenção / pólipos nos seios maxilares.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 quantidade de líquido / conteúdo de partes moles em células mastoides bilaterais.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Proptose discreta assimétrica, menor à esquerda. Associa-se herniação da gordura retro orbitária extracone em direção ao antro maxilar esquerdo, que pode estar relacionada a fratura remota do assoalho orbitário (correlacionar ao histórico clínico). Não há sinais evidentes de encarceramento da musculatura extrínseca ocular.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Cristalino direito não identificado com lente intra-ocular em sua posição.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Controle evolutivo de derivação ventricular evidencia, em relação ao exame de 23/04/2013, extremidade distal no interior do terceiro ventrículo, dimensões similares do sistema ventricular e amplitude semelhante dos demais espaços liquóricos intracranianos.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