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helicoidal de cortes axiais de 0,5 mm de colimação, seguida de reconstruções de cortes axiais de 2,0; 3,0 e 5,0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Sutil área hipoatenuante na porção basal do lobo temporal direito com mínimo alargamento focal dos sulcos corticais. A avaliação local está prejudicada por artefatos determinados pela calota craniana.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Diminuto foco hipoatenuante alongado na convexidade occipital direita. Admite diferencial com sulco cortical focalmente mais amplo.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Tênue área hipoatenuante circunscrita no ramo posterior da cápsula interna esquerda. Admite diagnóstico diferencial com espaço perivascular proeminente gliose.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insinuação caudal da tonsila cerebelar direita, sem ultrapassar o forame magno (variante da normalidade).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Sulcos corticais de convexidade alta dos hemisférios cerebrais amplos bem como espaços liquóricos bifrontais. Sistema ventricular com posição e dimensões dentro dos limites da normalidade, com ventrículos laterais amplos. Insinuação liquórica à cavidade selar, configurando sela parcialmente vazia.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encefálicas com posições, morfologia e atenuação habituais.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Desvio do septo nasal para esquerda com esporão ósseo associado.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Cavidades paranasais e mastoides aeradas nos segmentos avaliados pelo estudo.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ondulação da tábua interna do osso frontal, mais provavelmente relacionada a hiperostose frontal interna de aspecto benigno. Demais ossos da calota craniana sem evidências de anormalidades focais.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área hipoatenuante na porção basal e lateral do lobo temporal direito, que pode estar relacionada à seqüela de contusão pregressa ou ter natureza artefatual. A avaliação é parcialmente limitada por artefatos determinados pela calota craniana. A critério clínico correlacionar com ressonância magnética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