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dos sulcos corticais e fissura inter-hemisférica (relativamente menos amplos no vértex.), fissuras silvianas bem como dos ventrículos laterais, do III e IV ventrículos. Cisternas basais e fissuras cerebelares amplas.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na substância branca dos hemisférios cerebrais, mais evidentes ao redor dos cornos frontais e átrios ventriculares, bem como nos centros semiovais. Destaca-se, ainda, área hipodensa no aspecto posterior do giro do cíngulo à direita com extensão a região peritrigonal deste 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foco arredondado com densidade similar ao líquor no aspecto lateral da transição pontomesencefálica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Tênues calcificações nos estriados, predominantemente bilaterais, fisiológicas.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Insinuação liquórica ao interior da sela turca.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nas paredes dos segmentos intracranianos das artérias carótidas internas e das vertebrais.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difuso da calota craniana.com diminutos focos hipodensos circunscritos esparsos pela díploe, inespecíficos. Saliência focal da tábua óssea interna da escama frontal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espessamento do revestimento mucoso de algumas células etmoidais. Cisto de retenção / pólipo no seio maxilar esquerdo. Demais cavidades paranasais e mastoide direita aeradas nos segmentos avaliados pelo estudo.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Ápice da mastoide esquerda hipopneumatizado, sem esclerose óssea evidente (aspecto constitucional).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Cristalinos não identificados, com lente em sua posição à direita. Material denso na câmara posterior do globo ocular esquerdo, com morfologia sugestiva de descolamento de coroide / retina. Correlacionar com dados clínicos.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Descamação epitelial / cerúmen no conduto auditivo externo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redução volumétrica encefálica e degeneração aterosclerótica de artérias intracranianas. Certa desproporção entre as dimensões ventriculares e os espaços liquóricos menos evidentes junto ao vértex permite especular quanto a distúrbio na dinâmica liquórica (incluindo hidrocefalia de pressão normal) dentro de contexto clínico apropriado.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Hipodensidades na substância branca dos hemisférios cerebrais, inespecíficos, habitualmente relacionados à gliose/rarefação de mielina no território de pequenas artérias.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área hipodensa no cíngulo parietal e região peritrigonal à direita de provável natureza gliótica sequelar.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foco arredondado com densidade liquórica na hemiponte direita, admitindo espaço perivascular amplo e lacuna antiga entre os diagnósticos diferenciais.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