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Craniectomia fronto-têmporo-parietal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Extensa zona de perda tissular corticossubcortical subjacente ao revestimento meningogaleal na média e baixa convexidade do hemisfério cerebral esquerdo, envolvendo principalmente os giros frontal inferior e médio, o opérculo parietal, a ínsula e os giros temporal superior e médio. Há extensão profunda da perda tissular à região capsulonuclear (aspecto lateral do estriado) e subinsular. Cursa com alargamento de aspecto adaptativo dos espaços liquóricos regionais, principalmente da fissura sylviana e do ventrículo lateral correspondente.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Zonas cuneiformes de perda tissular são também observadas no lóbulo parietal inferior (predomínio do giro pós-central) da alta convexidade e aspecto mesial do cúneus à esquerda. Há alargamento adaptativo de sulcos corticais e fissuras inter-hemisféricas adjacentes.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Focos hipoatenuantes mais circunscritos são evidentes na cabeça do núcleo caudado e lentiforme à direita e no ramo posterior da cápsula interna à esquerda, representam mais provavelmente lacunas remotas, admitindo diferencial com espaços perivasculares amplos.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Alargamento dos demais sulcos corticais, fissuras inter-hemisférica e sylvianas, bem como dos demais aspectos dos ventrículos laterais e do terceiro ventrículo. Cisternas da base e fissuras cerebelares amplas.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Hipoatenuação do restante da substância branca bi-hemisférica, coalescente em torno dos cornos frontais e trígonos dos ventrículos 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nas paredes dos segmentos intracranianos das artérias carótidas internas.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 com atenuação de partes moles (provável cerúmen) preenche parcialmente os condutos auditivos externos bilateralmente. Aeração do ápice petroso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ossos da calota craniana sem evidências de anormalidades focais detectáveis aos cortes axiais.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Cavidades paranasais aeradas nos segmentos avaliados pelo estudo.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Sinais de antigas isquemias em convexidade fronto-parietal e occipito-temporal basal, além de extensa área de perda tecidual subjacente à craniectomia fronto-parieto-temporal em hemisfério cerebral esquerdo. Conveniente correlacionar com eventuais exames anteriores, não presentes neste instante.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degeneração aterosclerótica das artérias intracranianas.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Hipoatenuação da substância branca bi-hemisférica, inespecífica, habitualmente relacionada a gliose/rarefação mielínica.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Lacunas núcleo-capsulares à esquerda e em núcleo caudado à direita.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