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ESSONÂNCIA MAGNÉTICA DE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Aquisições multiplanares de imagens enfatizadas em T1, T2 com supressão do sinal do tecido adiposo e técnica FLAIR, T2* e difusão. Após a injeção EV do meio de contraste paramagnético, obtidas aquisições 3D e 2D em T1, com e sem supressão do sinal do tecido adiposo.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craniotomia occipito-mastoidea à esquerda, com artefatos de suscetibilidade magnética locais que degradam parcialmente algumas imagens.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aumento da amplitude da cisterna cerebelo-pontina e alargamento regular do conduto auditivo interno à esquerda (relacionado a acesso cirúrgico) onde há tecido lobulado de limites bem definidos com sinal intermediário em T2 e realce intenso pelo meio de contraste, medindo cerca de 0,6 x 0,4 x 0,4 cm (LL x AP x CC).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Hipossinal em T2* junto à face anterolateral esquerda do bulbo e face anterior do pedúnculo cerebelar médio à esquerda (calcificação em correlação com o estudo de tomografia de 18/02/2010).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Sulcos corticais amplos nas convexidades frontoparietais.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Discreto alargamento de sulcos cerebelares à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Múltiplos focos de hipersinal FLAIR/T2 na substância branca dos hemisférios cerebrais, principalmente ao redor dos átrios dos ventrículos laterais e regiões frontoparietais subcorticais e centros semiovais, sem contrastação ou restrição à difusão.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encefálicas com posições, morfologia e características de sinal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canal semicircular posterior esquerdo é apenas parcialmente caracterizado ou não caracterizado (exceto coto proximal - pode estar relacionado a alteração sequelar - a critério clínico correlacionar com TC de ossos temporais). Demais estruturas do labirinto membranoso com morfologia e sinal aparentemente conservados de ambos os lados.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foram identificadas áreas de restrição à difusão.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Imagem nodular com alto sinal em T2 e contrastação da díploe da calota craniana no osso frontal da alta convexidade direita junto à sutura coronária, medindo cerca de 0,8 cm, que pode representar pequeno hemangioma.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Discreto espessamento mucoso segmentar das cavidades paranasais.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pós operatório tardio de remoção de schwannoma vestibular à esquerda referido demonstra tecido contrastante preenchendo parcialmente o conduto auditivo interno esquerdo, que pode representar remanescente ou recidiva tumoral (admite diferencial com tecido cicatricial). Em relação ao exame anterior de 19/03/2005 não se observa mais o componente de realce junto ao aspecto posterior do poro acústico interno à esquerda (presumível tecido de granulação/fibrocicatricial) e tem aspecto praticamente inalterado o componente contrastante no interior do conduto auditivo deste lado (ressalva às diferenças técnicas entre os exames).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Calcificação junto à face anterolateral do bulbo e face anterior do pedúndulo cerebelar esquerdo, de aspecto cicatricial.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Focos de anormalidade de sinal na substância branca dos hemisférios cerebrais, inespecíficos, mas frequentemente relacionados a gliose / rarefação da mielina.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