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Não foi administrado o meio de contraste endovenoso, segundo solicitação médica.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Áreas de aspecto gliótico-sequelar na alta e média convexidade frontoparietal à direita representadas por hipersinal em T2/FLAIR com predomínio subcortical e afilamento do córtex adjacente. Nota-se ainda dilatação compensatória do ventrículo lateral direito e dos sulcos corticais e fissura inter-hemisférica regionais. Área similar é observada no lóbulo parietal superior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identificadas áreas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dos demais sulcos corticais, fissuras encefálicas, assim como do restante do sistema ventricular supratentorial. Cisternas basais amplas.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Insinuação liquórica à cisterna suprasselar.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 caloso difusamente afilado.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Múltiplas áreas de alteração de sinal, caracterizadas por hipersinal em T2/FLAIR, na substância branca subcortical principalmente fronto-parietal, dos centros semiovais e coroa radiada, além de outras periventriculares, de aspecto confluente.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perivasculares alargados e/ou lacunas na substância branca dos centros semiovais e coroa radiada, nucleocapsulares e subinsulares bilaterais. Lesão similar no hemisfério cerebelar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Marcado hipossinal em T2* nos globos pálidos bilateralmente, representando calcificações (residuais) em correlação com tomografia prévia.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do revestimento mucoso das cavidades paranasais. Conteúdo hidratado preenche algumas células das mastóides.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Cristalinos não visualizados com lentes intraoculares normoposicionadas.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Áreas de aspecto gliótico-sequelar frontoparietais à direita e parietal posterior esquerda. Achados mais provavelmente decorrentes de insulto isquêmico pregresso.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perivasculares alargados e/ou lacunas antigas na substância branca dos centros semiovais e coroa radiada, regiões nucleocapsulares e subinsulares bilaterais. Lacuna remota no hemisfério cerebelar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Áreas de alteração de sinal confluentes na substância branca dos hemisférios cerebrais (mais acentuadas à direita) inespecíficas, habitualmente encontradas no contexto de gliose e / ou rarefação de mielina.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redução volumétrica encefálica.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