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Pequenas lesões de T1-T2 longos com sinal intenso nas imagens FLAIR, sem contrastação, uma na junção córtico-subcortical do giro frontal médio direito e outra junto ao ângulo do corno frontal do ventrículo lateral direito, com eixo maior perpendicular ao epêndima. Questionam-se outras áreas de anormalidade de sinal similares, porém menores e mais tênues, no limite da resolução espacial do método, no aspecto lateral direito da ponte, junto à emergência do nervo trigêmeo, e no aspecto superior dos hemisférios cerebelares, junto aos pedúnculos cerebelares superiores. Tais lesões, por si só, são inespecíficas. Seu significado deve ser construído tendo em vista o contexto clínico. Mas, em correlação com a presença de lesão na medula espinhal cervical, a possibilidade de doença desmielinizante pode ser considerada, sem sinais de atividade inflamatória atual.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cisto na fissura coroidéia direita (achado fortuito, sem significado clínico).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características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caracterizadas áreas de contrastação patológica ou de restrição à difusão.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 de Tornwaldt na rinofaringe.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exame prévio de 27/10/2008 de outra instituição, cujos filmes radiológicos foram digitalizados em nosso sistema, não houve alterações evolutivas significativas das lesões supratentoriais. As discretas áreas de anormalidade de sinal na ponte e cerebelo não são comparáveis, pois as imagens do exame anterior têm espessura maior do que as do estudo atual.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