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CABEÇA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aNGIOrressonância Das ARTéRIAS CERVICAIS E INTRACRANIANAS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Adquiridas sequências angiográficas 3D-TOF e 2D TOF e 3D GE SPGR sem e com a utilização do meio de contraste paramagnético endovenoso, com reformatações multiplanares segundo intensidade máxima.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prévio de 02/04/2012: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Similar o alargamento dos sulcos corticais, fissuras encefálicas, dos ventrículos laterais e terceiro ventrículo. Quarto ventrículo centrado, de dimensões preservadas. Cisternas da base amplas. Insinuação liquórica à cavidade selar.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Estáveis os focos esparsos de hipersinal em T2/FLAIR na substância branca de ambos os hemisférios cerebrais, confluentes ao redor dos cornos frontais e átrios dos ventrículos 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 a pequena área de perda tissular córtico-subcortical na periferia do hemisfério cerebelar direito e vermis cerebelar, margeada por alto sinal em FLAIR, com discreta ampliação dos espaços liquóricos regionais.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justacorticais de marcado hipossinal em T2* no lóbulo paracentral, na porção opercular do giro frontal inferior e no giro temporal superior à esquerda, compatíveis com calcificações em correlação com a TC realizada em 01/05/2013.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áreas de contrastação patológica ou de restrição à difusão de entremeio ao parênquima encefálico.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do revestimento mucoso das cavidades paranasais, não mais se observando sinais de sinusopatia inflamatória no seio maxilar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Arco aórtico alongado. Emergência habitual dos troncos supra-aórticos.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Alongamento e tortuosidade do trajeto das artérias cervicais e intracranianas.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nos bulbos carotídeos e emergências das artérias carótidas internas, sem estenoses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Afilamento segmentar e regular do segmento proximal (V2) da artéria vertebral direita. Artéria cerebelar posteroinferior direita imprime a superfície inferior do pedúnculo cerebelar médio.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Hipoplasia do segmento A1 da artéria cerebral anterior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colunas de sinal representativas de fluxo dos troncos arteriais cervicais, intracranianos e de seus principais ramos de calibres e intensidade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Eventuais pequenas irregularidades nas colunas de sinal podem corresponder a alterações artefatuais inerentes ao método ou irregularidades discretas de parede de vaso.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degenerativas na coluna cervical.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Estudo do encéfalo sem alterações evolutivas significativas em relação ao realizado em 02/04/2012, permanecendo os sinais de redução volumétrica encefálica, os focos de anormalidade de sinal na substância branca dos hemisférios cerebrais (inespecíficos, comumente representando gliose e / ou rarefação mielínica), e as prováveis sequelas de isquemia na periferia do hemisfério cerebelar direito e no vermis cerebelar.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estenoses ou dilatações aneurismáticas evidenciáveis pela técnica.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relativos aos ossos temporais descritos no estudo dirigido da mesma data.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