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encefálicas com posições, morfologia e densidades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Ossos da calota craniana sem evidências de anormalidades focais.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do revestimento mucoso de todas as cavidades paranasais, com prováveis pólipos / cistos de retenção nos seios maxilares e esfenoidais. Grande quantidade de secreção em células etmoidais, seios frontais e maxilar direito, neste último formando nível líquido.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volumétrico da parede posterior da rinofaringe.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Mastóides normoaeradas.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Estudo do encéfalo dentro dos limites da normalidade.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Secreção acumulada em cavidades paranasais pode corresponder a sinusopatia inflamatória, a depender de correlação clínica.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