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adiposo, suscetibilidade magnética (SWAN), FLAIR, FIESTA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Em relação ao estudo de 12.01.2015: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Novo foco alongado de restrição à difusão na substância branca frontal da coroa radiada esquerda, com correspondente hipersinal em T2/FLAIR e sem realce pós-contraste, compatível com insulto isquêmico agudo.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Demais achados semelhantes: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Lesão expansiva extra-axial centrada no cavo de Meckel direito, predominantemente cística e com sinal superior ao do líquor em FLAIR (sugerindo conteúdo hiperproteico), com pequenos septos /componentes sólidos periféricos contrastantes, estendendo-se posteriormente a todo o segmento cisternal do nervo trigêmeo, retificando a hemiponte deste lado. O conjunto mede aproximadamente 3,2 x 1,5 x 1,8 cm (AP x LL x CC). A principal consideração diagnóstica deve ser </w:t>
      </w:r>
      <w:r w:rsidDel="00000000" w:rsidR="00000000" w:rsidRPr="00000000">
        <w:rPr>
          <w:i w:val="1"/>
          <w:color w:val="494949"/>
          <w:rtl w:val="0"/>
        </w:rPr>
        <w:t xml:space="preserve">schwannoma </w:t>
      </w:r>
      <w:r w:rsidDel="00000000" w:rsidR="00000000" w:rsidRPr="00000000">
        <w:rPr>
          <w:color w:val="494949"/>
          <w:rtl w:val="0"/>
        </w:rPr>
        <w:t xml:space="preserve">trigeminal, admitindo entre os diagnósticos diferenciais menos prováveis cistos congênitos ou meningioma cístico.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redução volumétrica encefálica.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Múltiplos pequenos focos de anormalidade de sinal na substância branca dos hemisférios cerebrais e núcleos da base, inespecíficas, usualmente representando gliose / rarefação de mielina.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Prováveis lacunas no giro pré-central esquerdo e na coroa radiada / margem anterolateral do putâmen esquerdo. Outros focos com sinal de líquor nas regiões nucleocapsulares e periventriculares, que admitem diferencial entre lacunas e espaços liquóricos amplos.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Múltiplos focos de deposição sequelar de hemossiderina em ambos os hemisférios cerebrais, em correlação com a tomografia computadorizada (TC) de 22.03.2016.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esparso do revestimento mucoso das cavidades paranasais.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Discreta mastoidopatia apical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facectomia bilateral.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Em relação à referida TC, não se observam alterações evolutivas significativas, guardadas as diferenças entre os métodos.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