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adiposo, susceptibilidade magnética, FLAIR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Em relação ao exame de 27/05/2014: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Persistem os sinais de manipulação cirúrgica pregressa, com ressecção parcial da porção posterior do septo nasal em acesso cirúrgico que se estende à porção anterossuperior do clivus.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 tecido de comportamento levemente expansivo que ocupa a medular óssea do segmento mais cranial do clivus, tubérculo e dorso selar, notadamente à direita, com sinal isointenso em T1 e alto sinal heterogêneo em T2/FLAIR e contrastação heterogênea persiste com aspecto praticamente inalterado. Permanece o contato com as margens mediais dos seios cavernosos e com o plexo venoso retroclival, sem evidências definitivas de infiltração.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 alargamento dos sulcos corticais, fissuras inter-hemisféricas e sylvianas, bem como das cisternas da base, com proeminência discreta do III ventrículo e ventrículos laterais, similar. Espaços liquóricos pericerebelares amplos.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Focos de hipersinal em T2/FLAIR esparsos na substância branca bi-hemisférica, similares, mais comumente representam gliose/rarefação de mielina.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Redução do foco nodular de marcado hipossinal na aquisição de susceptibilidade magnética no cíngulo anterior à direita, compatível com deposição cálcica, em correlação com o exame tomográfico de 18/06/2010.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identificadas áreas de contrastação patológica ou restrição à difusão.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do revestimento mucoso do trabeculado etmoidal e seio esfenoidal.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Alças vasculares nos segmentos cervicais altos da artéria carótida interna.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Controle pós-operatório de lesão expansiva em clivus, sem alterações evolutivas significativas em relação ao exame de 27/05/2014.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