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ABDOME TOTAL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(COM ÊNFASE NAS ADRENAIS)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Sequências multiplanares FSE e GRE ponderadas em T1 e T2, sem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Exame direcionado para a avaliação das adrenais evidencia: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Múltiplos nódulos nas adrenais, à direita subcentimétricos, e à esquerda medindo até 3,0 cm, todos com conteúdo lipídico microscópico, compatíveis com lesões primárias da cortical glandular (prováveis adenomas).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Pequena hérnia gástrica hiatal. Sinais de gastroplastia redutora.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Fígado de dimensões e contornos preservados, com sinal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Colecistectomia. 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Baço e pâncreas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Rins tópicos, de dimensões normais. Pequenos cistos corticais e peripiélicos no rim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urotelial da pelve renal direita. Ausência de hidronefrose (salienta-se que a RM não tem acurácia adequada para avaliação de cálculos renais milimétricos).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Pequena quantidade de líquido livre na pelve.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Bexiga com boa repleção, paredes finas e conteúdo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Histerectomia total.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Ovários com dimensões aumentadas à custa de cistos simples de até 1,8 cm à direita e 3,0 cm à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 Em relação à tomografia de 21/05/2013, os nódulos nas adrenais foram caracterizados como prováveis adenomas. Devido às dimensões das lesões na adrenal esquerda, sugerimos manter controle evolutivo por RM (inicialmente em 6 meses).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