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Aquisição volumétrica, sem contraste.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dimensões normais, apresentando focos hipoatenuantes esparsos, indeterminados devido às pequenas dimensões. Imagem cística de 2,0 cm no segmento IV.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Clipes de colecistectomia.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Baço, pâncreas e adrenais sem alterações no estudo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com dimensões normais, apresentando fusão dos terços inferiores. Nota-se nódulo com atenuação de gordura no terço inferior à direita, medindo 0,9 cm, compatível com angiomiolipoma. Não há evidências de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abdômino-pélvicas.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Discretas placas parietais calcificadas aórticas.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líquido livre intraperitoneal.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moderada repleção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Apêndice cecal de aspecto tomográfico preservado.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Espessamento focal do colon ascendente com extensão aproximada de 2,5 cm, com densificação dos planos adiposos adjacentes, aumento do número de linfonodos regionais e distensão do segmento cólico a montante com conteúdo fecal. O aspecto sugere lesão suboclusiva de natureza expansiva, sugerindo-se correlacionar com estudo colonoscópico.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 relação à TC contrastada de 17/10/2012 tornou-se evidente a lesão suboclusiva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 provável natureza expansiva no cólon ascendente. Demais achados evolutivamente inalterados.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Ronaldo Hueb Baroni CRM 85359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Ronaldo Hueb Baroni CRM 85359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