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TOMOGRAFIA COMPUTADORIZADA DE ABDOME TOTAL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Aquisição volumétrica, sem contraste.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Fígado de dimensões preservadas e contornos regulares. Formações hipoatenuantes em ambos os lobos com até 4,4 cm, o maior no segmento VI (já descritas como cistos em tomografia prévia).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Vesícula distendida (diâmetro transverso de 5,0 cm), com aparente discreto espessamento parietal. Planos gordurosos perivesiculares preservados. Conveniente correlação com ultrassom.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há dilatação das vias biliares. Divertículo na segunda porção duodenal, periampular.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Baço e adrenais sem particularidades.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Pâncreas lipossubstituído. Não há dilatação do Wirsung.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Rins tópicos, de dimensões normais. Cistos corticais com até 5,5 cm e peripiélicos bilaterais. Não se evidenciam imagens de cálculos ou hidronefrose.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Ausência de linfonodomegalias ou de líquido livre na cavidade peritoneal.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Ateromatose aortoilíaca.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Bexiga com paredes delgadas e conteúdo líquido homogêneo.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Sinais de colectomia direita com anastomose ileocólica.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Inúmeros divertículos cólicos esparsos, mais numerosos no sigmóide, sem sinais inflamatórios.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Rarefação óssea difusa e alterações degenerativas da coluna vertebral, com retrolistese grau I de D12- L1 e L1-L2 e anterolistese grau I de L4-L5 e L5-S1. Redução da altura do corpo vertebral de D10.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Fixação metálica no fêmur direito.             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* Em relação à tomografia de 02/04/2013 nota-se aumento da distensão da vesícula (conveniente correlação com ultrassonografia). Notou-se também aumento do cisto no lobo direito hepático.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Marcelo de Castro Jorge Racy CRM 70913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Marcelo de Castro Jorge Racy CRM 70913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