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color w:val="494949"/>
          <w:sz w:val="28"/>
          <w:szCs w:val="28"/>
        </w:rPr>
      </w:pPr>
      <w:r w:rsidDel="00000000" w:rsidR="00000000" w:rsidRPr="00000000">
        <w:rPr>
          <w:b w:val="1"/>
          <w:color w:val="494949"/>
          <w:sz w:val="28"/>
          <w:szCs w:val="28"/>
          <w:rtl w:val="0"/>
        </w:rPr>
        <w:t xml:space="preserve">RESSONÂNCIA MAGNÉTICA DE ABDOME SUPERIOR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color w:val="494949"/>
          <w:sz w:val="28"/>
          <w:szCs w:val="28"/>
        </w:rPr>
      </w:pPr>
      <w:r w:rsidDel="00000000" w:rsidR="00000000" w:rsidRPr="00000000">
        <w:rPr>
          <w:b w:val="1"/>
          <w:color w:val="494949"/>
          <w:sz w:val="28"/>
          <w:szCs w:val="28"/>
          <w:rtl w:val="0"/>
        </w:rPr>
        <w:t xml:space="preserve">(COM ÊNFASE NOS RINS)</w:t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i w:val="1"/>
          <w:color w:val="494949"/>
        </w:rPr>
      </w:pPr>
      <w:r w:rsidDel="00000000" w:rsidR="00000000" w:rsidRPr="00000000">
        <w:rPr>
          <w:b w:val="1"/>
          <w:i w:val="1"/>
          <w:color w:val="494949"/>
          <w:rtl w:val="0"/>
        </w:rPr>
        <w:t xml:space="preserve">Sequências multiplanares, antes e após a injeção endovenosa de contraste paramagnético.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Rins tópicos, de dimensões preservadas, apresentando boa concentração do meio de contraste.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Zona de ablação na face lateral do segmento médio / superior do rim esquerdo, apresentando focos de hipossinal em T2 e hipersinal em T1 (habituais pós-procedimento), e discreto realce periférico. Associa-se pequena retração do contorno cortical adjacente à lesão.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Restante do parênquima com espessura e sinal normais.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Não há hidronefrose.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Artérias renais pérvias. Presença de artéria renal acessória polar superior esquerda, de fino calibre, emergindo da aorta imediatamente acima da artéria principal homolateral.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Veias renais e veia cava inferior pérvias e anatômicas.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Ureteres com trajeto e calibre normais nos segmentos incluídos no estudo.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Ausência de linfonodomegalias.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Achados adicionais: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Sinais de esteatose hepática discreta e difusa.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Pólipo no fundo da vesícula biliar, medindo 0,5 cm.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Controle pós-ablação de nódulo sólido no rim esquerdo, caracterizado na RM de 04/11/2013, evidencia: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Zona de ablação envolvendo totalmente a lesão sólida previamente caracterizada, e apresentando discreto realce na sua periferia, sem evidências definitivas de recidiva / resíduo neoplásico. Como se trata de exame de controle precoce pós-ablação, recomendamos manter avaliação evolutiva por RM.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Houve redução do grau de esteatose hepática difusa em relação ao estudo de 04/11/2013.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b w:val="1"/>
          <w:i w:val="1"/>
          <w:color w:val="494949"/>
        </w:rPr>
      </w:pPr>
      <w:r w:rsidDel="00000000" w:rsidR="00000000" w:rsidRPr="00000000">
        <w:rPr>
          <w:b w:val="1"/>
          <w:i w:val="1"/>
          <w:color w:val="494949"/>
          <w:rtl w:val="0"/>
        </w:rPr>
        <w:t xml:space="preserve">Obs.: A ressonância magnética apresenta baixa sensibilidade na detecção de cálculos urinários de dimensões milimétricas.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                                                      </w:t>
      </w:r>
    </w:p>
    <w:p w:rsidR="00000000" w:rsidDel="00000000" w:rsidP="00000000" w:rsidRDefault="00000000" w:rsidRPr="00000000">
      <w:pPr>
        <w:ind w:left="360" w:firstLine="0"/>
        <w:contextualSpacing w:val="0"/>
        <w:jc w:val="center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 </w:t>
      </w:r>
    </w:p>
    <w:p w:rsidR="00000000" w:rsidDel="00000000" w:rsidP="00000000" w:rsidRDefault="00000000" w:rsidRPr="00000000">
      <w:pPr>
        <w:ind w:left="360" w:firstLine="0"/>
        <w:contextualSpacing w:val="0"/>
        <w:jc w:val="right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Relatado por: Dr. Aparecido Nakano Martins CRM 124896</w:t>
      </w:r>
    </w:p>
    <w:p w:rsidR="00000000" w:rsidDel="00000000" w:rsidP="00000000" w:rsidRDefault="00000000" w:rsidRPr="00000000">
      <w:pPr>
        <w:ind w:left="360" w:firstLine="0"/>
        <w:contextualSpacing w:val="0"/>
        <w:jc w:val="center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Revisado e Assinado Eletronicamente por: Dr. Aparecido Nakano Martins CRM 124896 e Dr. Ronaldo Hueb Baroni CRM 85359</w:t>
      </w:r>
    </w:p>
    <w:p w:rsidR="00000000" w:rsidDel="00000000" w:rsidP="00000000" w:rsidRDefault="00000000" w:rsidRPr="00000000">
      <w:pPr>
        <w:ind w:left="360" w:firstLine="0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