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DO ABDOME TOTAL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 helicoidal / multislice, antes e após a injeção venosa do meio de contraste iodado não-iônico.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Fígado com dimensões normais e contornos regulares, apresentando infiltração gordurosa difusa.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Veia porta pérvia.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Artéria hepática direita com origem na artéria mesentérica superior e trajeto posterior à veia porta (variação anatômica).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 ectasia do tronco celíaco, atingindo 1,2 cm de calibre.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dilatação das vias biliares. Vesícula biliar repleta de cálculos.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Pâncreas com morfologia, dimensões e contornos normais, sem lesões focais ou dilatações ductais.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Baço com dimensões normais e atenuação homogênea.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Rins tópicos, apresentando boa capacidade de concentração e de eliminação do meio de contraste, identificando-se formações císticas corticais bilaterais com até 1,5 cm, a maior delas mesorrenal à direita. Área de retração cortical no terço médio/inferior do rim esquerdo, de aspecto sequelar.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Microcálculos caliciais não obstrutivos no terço médio do rim esquerdo (identificados dois contíguos com 0,2 cm).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hidronefrose.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Nódulo na adrenal esquerda, de baixa atenuação (7,0 UH), medindo 2,0 cm, compatível com adenoma. Adrenal direita sem alterações.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Raros divertículos no cólon sigmóide e descendente, sem sinais inflamatórios associados.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Aspecto espástico do cólon sigmóide com duvidoso espessamento parietal, inespecífico, devendo-se correlacionar com dados clínicos e, caso indicado, com estudo endoscópico.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ou líquido livre peritoneal.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Aumento prostático, elevando discretamente o assoalho vesical.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Discreto alargamento de ambos os canais inguinais, com conteúdo gorduroso, principalmente à direita.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Adriano Tachibana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Adriano Tachibana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