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(PARA PESQUISA DE LITÍASE URINÁRIA)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sem contraste, para pesquisa de litíase do trato urinário.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e contornos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Parênquima com atenuação homogênea neste estudo sem contraste endovenoso.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se observam imagens de cálculos calicinais.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hidronefrose à direita.Ureter direito com trajeto e calibre normais, sem cálculos.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Cálculo com 0,3 cm na junção ureterovesical esquerda, determinando mínima dilatação do sistema coletor renal a montante.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Outro achado: pequeno foco hipodenso de 1,3 cm no segmento VIII hepático, inespecífico.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Em relação à tomografia de 10/08/2012, não se observam alterações evolutivas significativas. O controle de eliminação do cálculo ureteral referido, caso haja indicação clínica, pode ser feito por ultrassonografia.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