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COMPUTADORIZADA DA AORTA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ABDOMINAL E ARTÉRIAS DOS MEMBROS INFERIORES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 multislice durante a administração do meio de contraste endovenoso.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Realizadas reconstruções tridimensionais.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abdominal com trajeto e calibre normais, notando-se placas parietais calcificadas exuberantes, predominando no segmento infrarrenal, onde se observam ulcerações.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celíaco pérvio, levemente ectasiado (0,9 cm). Mesentérica superior pérvia, também ectasiada (atingindo 1,1 cm). Mesentérica inferior pérvia com calibre normal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Duplicidade das artérias renais bilateralmente, pérvias e sem estenoses.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ilíaca comum direita, apresentando aneurisma de morfologia sacular, predominando na sua parede ântero-medial, com calibre máximo de 4,1 cm e extensão de 3,8 cm, por praticamente todo o trajeto do vaso. Tem pequeno colo proximal de 0,5 cm de comprimento, onde mede 1,4 cm de calibre.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ilíacas externa e interna direitas se originam do aneurisma. Ambas apresentam calibre normal, a externa com trajeto tortuoso.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femorais pérvias e sem estenoses, notando-se placas parietais calcificadas que predominam na altura do canal dos adutores, nas artérias femorais superficiais.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poplíteas sem estenoses, a direita com leve ectasia (1,0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artérias das pernas pérvias e sem estenoses.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Aneurisma sacular do segmento proximal de ramo da poplítea esquerda para o músculo gastrocnêmio medial com 0,5 cm e outra saculação que acrescenta 0,5 cm ao contorno anterior do tronco tíbio-fibular (resulta em calibre total do vaso de 0,8 cm), localizado junto da sua origem.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plantares e pediosas pérvias.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no lobo médio do pulmão direito;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 nódulo pulmonar periférico no lobo médio, para o qual se recomenda controle em 1 ano;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calcificado na base pulmonar esquerda, residual;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Cistos corticais renais bilaterais;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Divertículos cólicos, sem sinais inflamatórios associados;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prostático;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hérnia inguinal indireta esquerda com conteúdo gorduroso.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