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com dimensões normais, contornos regulares, notando-se cistos esparsos, o maior deles com finas septações no segmento VI / VII com 4,2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 e baço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com dimensões normais, notando-se diminutas formações císticas corticais bilaterais, e cistos peripiélicos maiores à esquerda com até 3,0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hidronefrose. Ureteres de calibre normal em toda sua extensão.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linfonodomegalias ou líquido livre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Útero em anteversoflexão, com contornos regulares, medindo 8,2 x 4,2 x 4,9 cm, tendo volume estimado em 88 cc. Cicatriz de cesariana. Cistos de retenção no colo uterino.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Endométrio com espessura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 juncional espessada na região corporal anterior (1,2 cm), podendo corresponder a adenomiose (sugerimos exame de controle em outra fase do ciclo menstrual para confirmar este achado).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Ovários com morfologia e sinal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Tecido alongado retrátil com baixo sinal em T2 na região retrocervical paramediana esquerda, medindo 2,0 x 0,6 x 1,8 cm, em contato com o fórnice vaginal posterior, com alças intestinais delgadas e com a parede anterior do sigmóide (sem sinais definitivos de comprometimento parietal intestinal), inespecífico, que pode representar endometriose.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Recesso vésico-uterino, ligamentos útero-sacros e ligamentos redondos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Apêndice cecal espessura e sinal preservados.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