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ABDOME SUPERIOR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Sequências multiplanares FSE e GRE ponderadas em T1 e T2, antes e após a injeção endovenosa de contraste paramagnético.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FÍGADO: Sinais de hepatopatia crônica caracterizados por proeminência dos segmentos laterais do lobo esquerdo e caudado, contornos serrilhados/lobulados e parênquima heterogêneo.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LESÕES HEPÁTICAS SUSPEITAS PARA HEPATOCARCINOMA (hipervascularização, "washout" e pseudocápsula): Não há.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OUTRAS LESÕES HEPÁTICAS: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hipervascularizado no segmento IVB, medindo 1,0 cm, sem “washout” significativo, indeterminado (displásico?). Merece controle precoce.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Nódulos de regeneração e alguns cistos dispersos pelo parênquima.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VASCULARIZAÇÃO: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Veias porta, esplênica e mesentérica superior pérvias.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Circulação colateral periesofágica, perigástrica, no leito da veia gástrica esquerda e periesplênica. Recanalização da veia paraumbilical. Varizes esofágicas de fino calibre.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Tronco celíaco sem variações anatômicas.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LINFONODOS: Linfonodos em número aumentado peripancreáticos e no espaço portocava.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BAÇO: Esplenomegalia homogênea.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ASCITE: Moderada ascite.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OUTROS 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Vesícula biliar com paredes espessadas, que pode estar relacionada à ascite (reacional).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Pâncreas, adrenais e rins sem particularidades.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