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PRÓSTATA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 AVALIAÇÃO MULTIPARAMÉTRICA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Seqüências multiplanares FSE e GRE ponderadas em T1 e T2, antes e após injeção endovenosa de contraste paramagnético, incluindo sequências de difusão e perfusão. Exame realizado em aparelho 3 Tesla.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finas, colo alargado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Próstata de contornos regulares, medindo 4,9 x 4,4 x 5,6 cm (peso estimado em 63 g).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ressecção parcial da próstata, com nódulos de provável hiperplasia na zona de transição remanescente. Destacam-se áreas de hipossinal em T2, restrição à difusão e hipervascularização em meio aos nódulos na zona de transição paramediana esquerda, notadamente na base (onde atingem 2,7 cm), que podem representar áreas de hiperplasia estromal, com possível componente neoplásico associado.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Zona periférica heterogênea, destacando-se área de maior hipossinal em T2, restrição à difusão e hipervascularização na base esquerda, sem configurar nódulo conspícuo.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Caso uma biópsia guiada por ultrassom transretal seja clinicamente indicada, sugerimos a obtenção de fragmentos adicionais da zona de transição e da zona periférica basal à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Cápsula prostática sem abaulamentos irregulares ou descontinuidades.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Vesículas seminais assimétricas, com dimensões reduzidas e paredes espessadas, principalmente a esquerda, compatível com vesiculite crônica/amiloidose.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ou de líquido livre na pelve.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parietal associado a perda das haustrações do cólon descendente, sigmóide e reto, indicando componente inflamatório crônico.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Alargamento do anel inguinal direito com insinuação de conteúdo gorduroso.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