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spacing w:after="60" w:before="240" w:lineRule="auto"/>
        <w:contextualSpacing w:val="0"/>
        <w:jc w:val="right"/>
        <w:rPr>
          <w:b w:val="1"/>
          <w:color w:val="494949"/>
          <w:sz w:val="32"/>
          <w:szCs w:val="32"/>
        </w:rPr>
      </w:pPr>
      <w:bookmarkStart w:colFirst="0" w:colLast="0" w:name="_864d90h0j56x" w:id="0"/>
      <w:bookmarkEnd w:id="0"/>
      <w:r w:rsidDel="00000000" w:rsidR="00000000" w:rsidRPr="00000000">
        <w:rPr>
          <w:b w:val="1"/>
          <w:color w:val="494949"/>
          <w:sz w:val="32"/>
          <w:szCs w:val="32"/>
          <w:rtl w:val="0"/>
        </w:rPr>
        <w:t xml:space="preserve">RESSONÂNCIA MAGNÉTICA DA COLUNA LOMBO-SACRA</w:t>
      </w:r>
    </w:p>
    <w:p w:rsidR="00000000" w:rsidDel="00000000" w:rsidP="00000000" w:rsidRDefault="00000000" w:rsidRPr="00000000">
      <w:pPr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Ressonância magnética realizada com a técnica de fast spin-eco, em cortes multiplanares pesados em T1 e T2, evidenciou: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Acentuação da lordose lombar na posição de exame.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Corpos vertebrais com alturas e alinhamento preservados.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Pequeno hemangioma / ilhota gordurosa no corpo de L2.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Níveis L1-L2 a L3-L4: Sem particularidades.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Nível L4-L5: Degeneração discal com protrusão posterior de base larga com predomínio mediano, fazendo compressão dural.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Nível L5-S1: Degeneração e leve abaulamento discal, com fissura anular, fazendo leve impressão dural.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Canal vertebral e forames intervertebrais com dimensões preservadas.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Cone medular de topografia, morfologia e intensidade de sinal preservado.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Raízes da cauda equina de distribuição anatômica no interior do saco dural.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Planos musculoadiposos paravertebrais conservados.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Edema subcondral nas margens ântero-inferiores das articulações sacroilíacas, predominando à esquerda (sacroileite?). Sugere-se, a critério clínico, correlação com RM específica das articulações sacroilíacas..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Relatado por: Dr. Victor Hada Sanders CRM 135237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Revisado e Assinado Eletronicamente por: Dr. Victor Hada Sanders CRM 135237 e Dr. João Carlos Rodrigues CRM 78991</w:t>
      </w:r>
    </w:p>
    <w:p w:rsidR="00000000" w:rsidDel="00000000" w:rsidP="00000000" w:rsidRDefault="00000000" w:rsidRPr="00000000">
      <w:pPr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