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RX DO PUNHO DIREITO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Escafóide íntegro, sem evidências de fraturas ao método.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Artrose da articulação trapézio-metacarpiana, com redução do espaço, esclerose subcondral, osteófitos marginais e pequeno corpo livre no recesso lateral.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descontinuidade cortical da ponta do processo estilóide do rádio (degenerativo? fratura?).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Caso persista dúvida clínica, sugiro correlação com ressonância magnética.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João Carlos Rodrigues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João Carlos Rodrigues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