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12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jd4auo13blle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RADIOGRAFIAS DA COLUNA LOMBAR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Escoliose lombar de convexidade direita.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Prováveis costelas hipoplásicas de T12. Convém correlação com RX da coluna dorsal para confirmar a contagem das peças vertebrais.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Anterolistese grau I de L3 sem lise associada evidente ao método. Demais vertebras alinhadas.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Corpos vertebrais com alturas normais, osteofitose marginal anterolateral e pequenos nódulos de Schmorl que predominam em T12, L1 e L2.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Estreitamento difuso dos espaços discais lombares associado a esclerose dos platôs de aposição, mais significativo nos níveis superiores.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Hipertrofia interapofisária lombar inferior.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Alterações degenerativas nas articulações sacroilíacas.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desalinhamento significativo das cristas ilíacas.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Cavitações vasculares abdominais.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Andre Renato Cruz Santos CRM 82948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Andre Renato Cruz Santos CRM 82948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