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my93moe58riz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DO QUADRIL ESQUERDO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T2. Realizadas ainda sequências para redução de artefatos metálicos (</w:t>
      </w:r>
      <w:r w:rsidDel="00000000" w:rsidR="00000000" w:rsidRPr="00000000">
        <w:rPr>
          <w:i w:val="1"/>
          <w:color w:val="494949"/>
          <w:rtl w:val="0"/>
        </w:rPr>
        <w:t xml:space="preserve">MAVRIC e IDEAL</w:t>
      </w:r>
      <w:r w:rsidDel="00000000" w:rsidR="00000000" w:rsidRPr="00000000">
        <w:rPr>
          <w:color w:val="494949"/>
          <w:rtl w:val="0"/>
        </w:rPr>
        <w:t xml:space="preserve">), que evidenciaram: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Artroplastia total do quadril esquerdo com componentes metálicos gerando artefatos de susceptibilidade magnética.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Observam-se tênues focos de edema trabecular na interface do componente protético femoral em sua porção proximal, sem sinais inequívocos de soltura. Controle a critério.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Reação osteo-hipertrófica na cortical anterior da diáfise proximal do fêmur, junto à origem do vasto intermédio. Mínimo edema periosteal subjacente.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ósseas com morfologia e sinal medular normais.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Rotura completa dos tendões do glúteo mínimo e das fibras laterais e anteriores do glúteo médio, com retração e atrofia gordurosa parcial dos ventres musculares. Fibras posteriores do glúteo médio mantém integridade, com sinais de tendinopatia.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Irregularidades fibrocicatriciais do trato iliotibial e tendão glúteo máximo na região peri-trocantérica, com pequena lâmina líquida interposta no leito bursal.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Entesopatia na origem dos ísquio-tibiais.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Achado adicional: Imagens panorâmicas mostram área de necrose avascular na cabeça femoral direita.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Juliana Frota Guimarães CRM 143449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Juliana Frota Guimarães CRM 143449 e Dr. Durval do Carmo Barros Santos CRM 90774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