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y3au69u9u2g5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DE SACRO-ILÍACAS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Ressonância magnética realizada com a técnica de fast spin-eco, em cortes multiplanares pesados em T1 e T2. Estudo sem contraste por solicitação da paciente, evidenciou: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Discreto edema no canto anterossuperior do corpo vertebral de S1, de aspecto degenerativo.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Mínimo edema subcondral nas margens sacrais ântero-inferiores das articulações sacro-ilíacas, associado a redução dos espaços articulares e a discretas irregularidades das superfícies articulares. Considerar a hipótese de sacroileíte 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estruturas ósseas de morfologia e sinal medular normais.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formação com efeito expansivo ou coleções.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Músculos e tendões sem alterações.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Em relação ao estudo de 26/02/2003 não se evidenciam alterações evolutivas significativas, resguardadas as diferenças técnicas. A utilização do meio de contraste poderá trazer subsídios adicionais.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Conrado Eduardo Foelker CRM 128608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Conrado Eduardo Foelker CRM 128608 e Dr. Laercio Alberto Rosemberg CRM 47952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