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 PARA IDADE ÓSSEA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Idade cronológica : 17 meses.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Idade óssea estimada entre 15 e 18 meses, segundo o atlas de Greulich-Pyle, para o sexo feminino.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obs: nesta faixa etária existe uma razoável variabilidade na maturação óssea, principalmente no carpo. Assim, valorizamos primordialmente o surgimento dos núcleos de ossificação das falanges e metacarpos. Caso necessário, controle em 6 meses.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