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color w:val="494949"/>
          <w:sz w:val="32"/>
          <w:szCs w:val="32"/>
        </w:rPr>
      </w:pPr>
      <w:bookmarkStart w:colFirst="0" w:colLast="0" w:name="_63kzjd659fe6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TOMOGRAFIA COMPUTADORIZADA DA COLUNA DORSAL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400" w:hanging="1700"/>
        <w:contextualSpacing w:val="0"/>
        <w:jc w:val="both"/>
        <w:rPr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Método:</w:t>
      </w:r>
      <w:r w:rsidDel="00000000" w:rsidR="00000000" w:rsidRPr="00000000">
        <w:rPr>
          <w:color w:val="494949"/>
          <w:rtl w:val="0"/>
        </w:rPr>
        <w:t xml:space="preserve">              Helicoidal / Multislice</w:t>
      </w:r>
    </w:p>
    <w:p w:rsidR="00000000" w:rsidDel="00000000" w:rsidP="00000000" w:rsidRDefault="00000000" w:rsidRPr="00000000">
      <w:pPr>
        <w:ind w:left="3400" w:hanging="1700"/>
        <w:contextualSpacing w:val="0"/>
        <w:jc w:val="both"/>
        <w:rPr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Colimação:</w:t>
      </w:r>
      <w:r w:rsidDel="00000000" w:rsidR="00000000" w:rsidRPr="00000000">
        <w:rPr>
          <w:color w:val="494949"/>
          <w:rtl w:val="0"/>
        </w:rPr>
        <w:t xml:space="preserve">              0,5 mm, com reconstruções multiplanares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Corpos vertebrais com alinhamento e alturas mantidas.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Osteofitose marginal formando por vezes algumas pontes ósseas.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Discopatia segmentar multifocal, carcterizando-se alguns nódulos de Schmorl esparsos.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Dimensões normais do canal vertebral.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Alteração degenerativa das articulações interapofisárias determinando redução dos forames neurais, sem sinais de conflito neural dentro da resolução do método.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Planos músculo-adiposos paravertebrais sem alterações tomográficas significativas.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Achados do abdome e coluna lombar descritos em laudos específicos.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Obs: Nódulo de 0,7cm no lobo inferior do pulmão direito, de contornos levemente lobulados. Conveniente controle em 3 meses.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