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Da hemibacia direita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realizada com a técnica de fast spin-eco, em cortes multiplanares pesados em T1 e T2, pré e pós-injeção do meio de contraste paramagnético por via endovenosa, evidenciou: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Lesão heterogênea, predominante esclerótica, bem delimitada e com leve edema ósseo adjacente, localizada no aspecto posterior do ilíaco direito, adjacente a sacroilíaca e medindo cerca de 2,1 cm. Outra lesão esclerótica com cerca de 1,8 cm e halo de gordura no ilíaco esquerdo, adjacente a sacroilíaca. Sugere-se controle evolutivo a critério clinico.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Pequenos cistos subcorticais no contorno anterior da transição cabeça/colo femoral bilateral.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estruturas ósseas com morfologia e sinal medular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Leve edema e realce sinovial perifacetário em L4-L5 e L5-S1.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derrame articular ou sinovite.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Superfícies condrais regulares.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Leve tendinopatia insercional dos glúteos médio e mínimo, sem roturas.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Tendinopatia na origem dos isquiotibiais.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Leve edema entre o trato iliotibial e o grande trocânter femoral. Espessamento bursal trocantérico discreto.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