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DA COLUNA LOMBO-SACRA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realizada com técnica de fast spin-eco, com sequências pesadas em T1 e T2, com aquisições multiplanares antes e após administração de contraste paramagnético (gadolínio), evidencia: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Considerada vértebra L5 de morfologia transicional lombossacra (VT), com mega-apófises transversas integradas ao sacro. Hipoplasia do último par de arcos costais. Correlacionar com radiografias panorâmicas da coluna para confirmação dos níveis.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Leve desvio do eixo lombar para a direita na posição de estudo. Retificação da lordose lombar.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Anterolistese degenerativa grau I de L3.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Sinais de manipulação cirúrgica caracterizados por laminectomia esquerda de L4, com edema dos planos de partes moles adjacentes. Há coleção localizada no subcutâneo e na musculatura paravertebral esquerda, ao nível do leito cirúrgico, com componente epidural posterior que se insinua superiormente até o nível de L3-L4. O componente epidural da coleção mede aproximadamente 4,0 x 0,6 x 0,5 cm e comprime o saco dural, deslocando-o anteriormente. Os componentes subcutâneo e paravertebral da coleção medem respectivamente 3,5 x 1,0 x 1,0 cm (volume estimado em 1,8 ml) e 3,5 x 2,5 x 3,2 cm (volume estimado em 15,0 ml). Diminutas calcificações no recesso lateral esquerdo, em correlação com a TC do mesmo dia.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corpos vertebrais alinhados, com alturas conservadas. Pequeno osteófitos marginais esparsos.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Alterações degenerativas tipo Modic I e II (predominando edema) com irregularidades e diminutos nódulos de Schmorl nos platôs vertebrais de L4-L5.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Níveis D12-L1 a L2-L3: Sem abaulamentos ou protrusões discais significativos.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Nível L3-L4: Abaulamento / pseudoabaulamento discal com leve compressão dural e componentes foraminais, maior à esquerda, sem compressão radicular. Fissura anular extremo-lateral esquerda. Artrose das interapofisárias com edema facetário e parifacetário, indicando componente artrítico. Leve hipertrofia dos ligamentos amarelos.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Nível L4-L5: Abaulamento discal centro-paramediano esquerdo com pequeno componente herniário extruso paramediano esquerdo, levemente insinuado superiormente, fazendo impressão dural e sobre a a raiz esquerda de L5 no recesso lateral (hérnia recidivada). Artrose das interapofisárias com mínimo edema facetário bilateral contribuindo para pequena redução do calibre do canal vertebral. Hipertrofia dos ligamentos amarelos.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Nível L5-S1: Disco rudimentar. Hipertrofia e anquilose das interapofisárias.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Restante do canal vertebral e demais forames de conjugação conservados.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Cone medular de topografia, morfologia e intensidade de sinal preservado.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Demais raízes da cauda equina agrupadas nos níveis de estenose do canal vertebral.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 relação ao estudo do dia 14/05/2013, observamos os sinais de manipulação cirúrgica com laminectomia esquerda em L4-L5, tendo evidência de recidiva da hérnia discal paramediana esquerda e pequena coleção epidural posterior entre L3-L4 e L4-L5, imprimindo o saco dural.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