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Acometimento por sinal intenso em FLAIR e T2 com hipossinal variável em T1 avolumando estruturas corticais e subcorticais frontais e parietoccipitais, questionável em regiões temporais inferiores e de modo mais intenso na junção parieto-occipital e na convexidade occipital, onde a extensão do acometimento da substância branca é maior, além de algumas áreas mais profundas no centro semi-oval e junto aos ventrículos laterais. Não há sinais inequívocos de restrição à difusão notando-se focos de contrastação nas lesões cortico subcorticais frontais e parieto-occipitais com aparente contrastação leptomeningea associada. Necessária correlação clinica e com os achados liquóricos.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 ventricular e demais espaços liquóricos amplos.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Artefatos em couro cabeludo provavelmente relacionados a presença de gel condutor.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JOÃO RADVANY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JOÃO RADVANY e Dr. EDUARDO CARNEIRO LIMA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