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c3hk2gxb7wyq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 metálica anterior ao globo ocular esquerdo, determinando artefatos que degradam algumas imagens e prejudicam parcialmente a avaliação.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expansiva nodular intra-axial na alta convexidade frontoparietal direita, heterogeneamente hiperdensa, medindo cerca de 3,0 x 3,0 x 2,8 cm (CC x AP x LL). Associa-se hipoatenuação da substância branca circunjacente, podendo corresponder a edema vasogênico. O conjunto dos achados determina efeito expansivo com apagamento dos sulcos corticais e fissuras encefálicas adjacentes e discreta compressão do ventrículo lateral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Esboço nodular semelhante no giro pré-cuneo esquerdo com hipoatenuação da substância branca circunjacente e apagamento dos sulcos corticais regionais.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Tênues calcificações palidais bilaterais.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Insinuação liquórica ao interior da sela turca.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encefálicas com posição, morfologia e atenuação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Ateromatose das porções intracranianas das artérias carótidas internas e vertebral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Sinais de ressecção ampla do osso temporal esquerdo, com otomastoidectomia (sendo parcialmente caracterizadas as estruturas da orelha interna deste lado) e parotidectomia homolaterais.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Espessamento e lobulações da tábua interna da escama óssea frontal compatível com hiperostose benigna. Demais ossos da calota craniana sem evidências de anormalidades focais.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Bulbos jugulares altos.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Alterações degenerativas no côndilo mandibular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mucoso do trabeculado etmoidal. Diminuto pólipo/cisto de retenção no antro maxilar direito. Secreção aerada no seio esfenoidal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 Formação nodular heterogênea intra-axial na transição frontoparietal direita e esboço nodular similar no lobo parietal esquerdo, associados a extenso edema e efeito de massa. Considerar a hipótese de lesões secundárias no contexto clínico. Ressonância magnética de cabeça pode trazer informações adicionais.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Fabiana de Campos C. Hirata CRM 142710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Fabiana de Campos C. Hirata CRM 142710 e Dr. Rogerio Iquizli CRM 107751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