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color w:val="494949"/>
          <w:sz w:val="28"/>
          <w:szCs w:val="28"/>
        </w:rPr>
      </w:pPr>
      <w:r w:rsidDel="00000000" w:rsidR="00000000" w:rsidRPr="00000000">
        <w:rPr>
          <w:b w:val="1"/>
          <w:color w:val="494949"/>
          <w:sz w:val="28"/>
          <w:szCs w:val="28"/>
          <w:rtl w:val="0"/>
        </w:rPr>
        <w:t xml:space="preserve">RESSONÂNCIA MAGNÉTICA DE CABEÇA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TÉCNICA:</w:t>
      </w:r>
    </w:p>
    <w:p w:rsidR="00000000" w:rsidDel="00000000" w:rsidP="00000000" w:rsidRDefault="00000000" w:rsidRPr="00000000">
      <w:pPr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Aquisições multiplanares de imagens enfatizadas em T1, T2 com supressão do sinal do tecido adiposo, susceptibilidade magnética, FLAIR e difusão. Após a injeção EV do meio de contraste paramagnético, obtidas aquisições 3D e 2D em T1, com e sem supressão do sinal do tecido adiposo.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ACHADOS: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Espessamento irregular da paquimeninge na média convexidade frontal esquerda, superficial aos giros frontais médio e inferior e estendendo-se até a margem da fissura sylviana. Tem discreto hipersinal em FLAIR, aparente restrição à difusão e intenso realce pelo meio de contraste. Associa-se marcado baixo sinal em T1 da calota óssea suprajacente com discreta contrastação após a injeção do meio de contraste.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Alargamento dos sulcos corticais e das fissuras inter-hemisférica e sylvianas, além de decreto aumento das dimensões dos ventrículos laterais e do III ventrículo. Cisternas basais e fissuras cerebelares amplas.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Raros pequenos focos de hipersinal em T2/FLAIR esparsos na substância branca supratentorial, especialmente subcorticais.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Finas anomalias do desenvolvimento venoso frontal esquerda e no lóbulo paracentral direito (achados fortuitos)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Demais estruturas encefálicas com posições, morfologia e características de sinal normais.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Não foram caracterizadas áreas de contrastação patológica ou de restrição à difusão em meio ao parênquima encefálico.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IMPRESSÃO: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Espessamento e realce dural irregular na média convexidade frontal esquerda associado a alteração de sinal da calota óssea suprajacente. Dentre os diagnósticos diferenciais pode-se considerar neoplasia secundária. É necessária correlação com o achado anatomopatológico de lesão pleural e eventuais outros dados clínicos e laboratoriais.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Sinais de redução volumétrica encefálica.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Raros focos de alteração de sinal na substância branca supratentorial, inespecíficos, mas que mais comumente representam rarefação de mielina/gliose.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>
      <w:pPr>
        <w:ind w:left="360" w:firstLine="0"/>
        <w:contextualSpacing w:val="0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jc w:val="right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Relatado por: Dra. Gabriela Grinberg Dias CRM 120280</w:t>
      </w:r>
    </w:p>
    <w:p w:rsidR="00000000" w:rsidDel="00000000" w:rsidP="00000000" w:rsidRDefault="00000000" w:rsidRPr="00000000">
      <w:pPr>
        <w:ind w:left="360" w:firstLine="0"/>
        <w:contextualSpacing w:val="0"/>
        <w:jc w:val="center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Revisado e Assinado Eletronicamente por: Dra. Gabriela Grinberg Dias CRM 120280 e Dr. Eduardo Carneiro Lima CRM 77511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