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CABEÇA, com espectroscopia e perfusão tissular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Realizadas aquisições em EPI SE durante a injeção I.V. do meio de contraste e aquisições de perfis de espectroscopia de prótons com técnica de amostragem múltipla com ecos curtos e longos.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seguir são feitas observações em relação ao exame de 24/04/2011: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Permanecem semelhantes as áreas de impregnação pelo contraste em lobo temporal esquerdo, adjacentes as margens cirúrgicas.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análise espectroscópica mostra aumento de colinas e redução de N-Acetil-Aspartato nestes locais.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avaliação de perfusão tissular mantém um padrão radial, com estrias vasculares convergentes em direção ao átrio esquerdo, presumivelmente representando regime de drenagem venosa sobrecarregado em meio à remanescente neoplásico. Estas áreas não apresentam sinal baixo em aquisições SWI, conforme se espera em veias com velocidade e regime de fluxo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como antes.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novas áreas de contrastação patológica.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identificadas outras áreas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Praticamente não houve modificações em relação ao exame de 24/04/2011.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a área com aumento de parâmetros de perfusão (rCBV, rCBF) nas margens da cicatriz cirúrgica, cujas possibilidades incluem regime de drenagem venosa alterado em meio à lesão remanescente. Não é possível excluir componente menos diferenciado da neoplasia, inclusive porque há aumento marcado da relação entre Colina e creatina no local. Sugere-se controle precoce.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