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helicoidal de cortes axiais de 0,5 mm de colimação, seguida de reconstruções de cortes axiais de 2,0; 3,0 e 5,0 mm de espessura,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Diminuta / questionável formação arredondada hiperdensa no aspecto anterolateral do bulbo à esquerda, em região suscetível a artefatos decorrentes da interface óssea, com contornos parcialmente definidos, medindo aproximadamente 0,5cm. A critério clínico, o exame de ressonância magnética poderá fornecer informações adicionais.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encefálicas com posições, morfologia e densidades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Ossos da calota craniana sem evidências de anormalidades focais.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espessamento do revestimento mucoso maxiloetmoidal.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Material com densidade de partes moles e bolhas de gás de permeio preenche parcialmente o seio esfenoidal esquerdo e forma níveis líquidos nos seios maxilares, o que pode tratar-se de sinusopatia inflamatória aguda / agudizada, a depender de correlação clínica.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Mastóides aeradas nos segmentos avaliados pelo estudo.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Pequenas calcificações / microcálculos nas glândulas parótidas.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