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Aquisição helicoidal de cortes axiais de 0,5 mm de colimação, seguida de reconstruções de cortes axiais de 2,0; 3,0 e 5,0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Ventrículos laterais proeminentes, observando-se discreta assimetria os mesmos, sendo o esquerdo maior. Terceiro e quarto ventrículos amplos. Acentuação de fissuras sylvianas, sulcos corticais e espaços liquóricos entre folias cerebelares. Cisternas basais alargadas.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coleções intracranianas.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Hipodensidades em substância branca bi-hemisférica, confluentes junto aos cornos frontais e átrios ventriculares.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Hipodensidades circunscritas nucleocapsulares e talâmicas bilaterais.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Hipodensidades circunscritas infraputaminais bilaterais, mais provavelmente representando espaços perivasculares alargados.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Troncos arteriais intracranianos de curso discretamente alongado e tortuoso, com calcificações parietais nos segmentos intracranianos das artérias carótidas internas e vertebrais.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da imagem dos cristalinos.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Ossos da calota craniana sem anormalidades focais aos cortes axiais.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achados referentes aos seios da face estão descritos no estudo específico.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Obs.: Uma discreta imagem hiperdensa em face medial do pedúndulo cerebral esquerdo tem se tornado mais evidente desde o exame de 14/01/2013, quando era muito sutil. Esta imagem não é observada no exame de 14/01/2009. Sugerimos, a critério clínico e caso haja condições, a realização de ressonância magnética. Entre as hipóteses para este achado se encontram lesões de etiologia vascular (malformação cavernomatosa) ou mais mesmo secundárias.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Sinais de redução volumétrica encefálica e ateromatose dos vasos intracranianos.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Hipodensidades da substância branca bi-hemisférica, inespecíficas, podendo representar gliose e/ou rarefação de mielina.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Pequenas hipodensidades circunscritas nucleocapsulares e talâmicas bilaterais, podendo representar espaços perivasculares e/ou pequenas lacunas.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Vide a observação acima.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